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ind w:right="3778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KÚPNA ZMLUVA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/>
        <w:ind w:right="174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uzatvorená v súlade s § 588 a </w:t>
      </w:r>
      <w:proofErr w:type="spellStart"/>
      <w:r>
        <w:rPr>
          <w:color w:val="000000"/>
          <w:sz w:val="21"/>
          <w:szCs w:val="21"/>
        </w:rPr>
        <w:t>nasl</w:t>
      </w:r>
      <w:proofErr w:type="spellEnd"/>
      <w:r>
        <w:rPr>
          <w:color w:val="000000"/>
          <w:sz w:val="21"/>
          <w:szCs w:val="21"/>
        </w:rPr>
        <w:t xml:space="preserve">. zákona č. 40/1964 Zb. Občiansky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right="2102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zákonník v znení neskorších predpisov (ďalej len „Zmluva“)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/>
        <w:ind w:right="4392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medzi </w:t>
      </w:r>
    </w:p>
    <w:p w:rsidR="00576F08" w:rsidRDefault="00576F08" w:rsidP="00576F08">
      <w:pPr>
        <w:tabs>
          <w:tab w:val="left" w:pos="720"/>
        </w:tabs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Predávajúci:</w:t>
      </w:r>
    </w:p>
    <w:p w:rsidR="00576F08" w:rsidRDefault="00576F08" w:rsidP="00576F08">
      <w:pPr>
        <w:tabs>
          <w:tab w:val="left" w:pos="720"/>
        </w:tabs>
        <w:rPr>
          <w:b/>
          <w:color w:val="000000"/>
          <w:sz w:val="21"/>
          <w:szCs w:val="21"/>
        </w:rPr>
      </w:pPr>
    </w:p>
    <w:p w:rsidR="00576F08" w:rsidRPr="006B3D58" w:rsidRDefault="00576F08" w:rsidP="00576F08">
      <w:pPr>
        <w:tabs>
          <w:tab w:val="left" w:pos="720"/>
        </w:tabs>
        <w:rPr>
          <w:b/>
          <w:sz w:val="22"/>
          <w:szCs w:val="22"/>
        </w:rPr>
      </w:pPr>
      <w:r>
        <w:rPr>
          <w:b/>
          <w:color w:val="000000"/>
          <w:sz w:val="21"/>
          <w:szCs w:val="21"/>
        </w:rPr>
        <w:t xml:space="preserve">    Irena </w:t>
      </w:r>
      <w:proofErr w:type="spellStart"/>
      <w:r>
        <w:rPr>
          <w:b/>
          <w:color w:val="000000"/>
          <w:sz w:val="21"/>
          <w:szCs w:val="21"/>
        </w:rPr>
        <w:t>Cirjaková</w:t>
      </w:r>
      <w:proofErr w:type="spellEnd"/>
      <w:r>
        <w:rPr>
          <w:b/>
          <w:sz w:val="22"/>
          <w:szCs w:val="22"/>
        </w:rPr>
        <w:t xml:space="preserve">, rod. </w:t>
      </w:r>
      <w:proofErr w:type="spellStart"/>
      <w:r>
        <w:rPr>
          <w:b/>
          <w:sz w:val="22"/>
          <w:szCs w:val="22"/>
        </w:rPr>
        <w:t>Jonášová</w:t>
      </w:r>
      <w:proofErr w:type="spellEnd"/>
      <w:r w:rsidRPr="006B3D58">
        <w:rPr>
          <w:b/>
          <w:sz w:val="22"/>
          <w:szCs w:val="22"/>
        </w:rPr>
        <w:t>,</w:t>
      </w:r>
    </w:p>
    <w:p w:rsidR="00576F08" w:rsidRDefault="00576F08" w:rsidP="00576F0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76F08" w:rsidRPr="006B3D58" w:rsidRDefault="00576F08" w:rsidP="00576F0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B3D58">
        <w:rPr>
          <w:sz w:val="22"/>
          <w:szCs w:val="22"/>
        </w:rPr>
        <w:t>Dátum narodenia: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3D58">
        <w:rPr>
          <w:sz w:val="22"/>
          <w:szCs w:val="22"/>
        </w:rPr>
        <w:t>, rod. č.:</w:t>
      </w:r>
      <w:r>
        <w:rPr>
          <w:sz w:val="22"/>
          <w:szCs w:val="22"/>
        </w:rPr>
        <w:t xml:space="preserve"> </w:t>
      </w:r>
    </w:p>
    <w:p w:rsidR="00576F08" w:rsidRPr="006B3D58" w:rsidRDefault="00576F08" w:rsidP="00576F0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</w:rPr>
        <w:t>štátny občan</w:t>
      </w:r>
      <w:r w:rsidRPr="006B3D58">
        <w:rPr>
          <w:sz w:val="22"/>
        </w:rPr>
        <w:t xml:space="preserve"> SR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left="339"/>
        <w:rPr>
          <w:b/>
          <w:color w:val="FFFFFF"/>
          <w:sz w:val="12"/>
          <w:szCs w:val="12"/>
        </w:rPr>
      </w:pPr>
      <w:r>
        <w:rPr>
          <w:b/>
          <w:color w:val="FFFFFF"/>
          <w:sz w:val="12"/>
          <w:szCs w:val="12"/>
        </w:rPr>
        <w:t xml:space="preserve">f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/>
        <w:ind w:left="34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(ďalej len „</w:t>
      </w:r>
      <w:r>
        <w:rPr>
          <w:b/>
          <w:color w:val="000000"/>
          <w:sz w:val="21"/>
          <w:szCs w:val="21"/>
        </w:rPr>
        <w:t>predávajúci</w:t>
      </w:r>
      <w:r>
        <w:rPr>
          <w:color w:val="000000"/>
          <w:sz w:val="21"/>
          <w:szCs w:val="21"/>
        </w:rPr>
        <w:t xml:space="preserve">“)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/>
        <w:ind w:left="344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/>
        <w:ind w:left="339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Kupujúci: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left="339"/>
        <w:rPr>
          <w:b/>
          <w:color w:val="FFFFFF"/>
          <w:sz w:val="12"/>
          <w:szCs w:val="12"/>
        </w:rPr>
      </w:pPr>
      <w:r>
        <w:rPr>
          <w:b/>
          <w:color w:val="FFFFFF"/>
          <w:sz w:val="12"/>
          <w:szCs w:val="12"/>
        </w:rPr>
        <w:t xml:space="preserve">f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/>
        <w:ind w:left="342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Obchodné meno: </w:t>
      </w:r>
      <w:r>
        <w:rPr>
          <w:b/>
          <w:color w:val="000000"/>
          <w:sz w:val="21"/>
          <w:szCs w:val="21"/>
        </w:rPr>
        <w:t>Obec Šávoľ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left="3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Sídlo: Šávoľ č.220, 985 41 Šávoľ, Slovenská republika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lef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IČO: 00316415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3" w:lineRule="auto"/>
        <w:ind w:right="147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</w:t>
      </w:r>
      <w:r>
        <w:rPr>
          <w:sz w:val="21"/>
          <w:szCs w:val="21"/>
        </w:rPr>
        <w:t>Štatutár</w:t>
      </w:r>
      <w:r>
        <w:rPr>
          <w:color w:val="000000"/>
          <w:sz w:val="21"/>
          <w:szCs w:val="21"/>
        </w:rPr>
        <w:t xml:space="preserve">: Július Ferencz, starosta obce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/>
        <w:ind w:left="34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(ďalej len „</w:t>
      </w:r>
      <w:r>
        <w:rPr>
          <w:b/>
          <w:color w:val="000000"/>
          <w:sz w:val="21"/>
          <w:szCs w:val="21"/>
        </w:rPr>
        <w:t>kupujúci</w:t>
      </w:r>
      <w:r>
        <w:rPr>
          <w:color w:val="000000"/>
          <w:sz w:val="21"/>
          <w:szCs w:val="21"/>
        </w:rPr>
        <w:t xml:space="preserve">“) </w:t>
      </w:r>
    </w:p>
    <w:p w:rsidR="00576F08" w:rsidRPr="008936CB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left="34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(ďalej spoločne predávajúci a kupujúci aj ako „</w:t>
      </w:r>
      <w:r>
        <w:rPr>
          <w:b/>
          <w:color w:val="000000"/>
          <w:sz w:val="21"/>
          <w:szCs w:val="21"/>
        </w:rPr>
        <w:t>zmluvné strany</w:t>
      </w:r>
      <w:r>
        <w:rPr>
          <w:color w:val="000000"/>
          <w:sz w:val="21"/>
          <w:szCs w:val="21"/>
        </w:rPr>
        <w:t>“ alebo „</w:t>
      </w:r>
      <w:r>
        <w:rPr>
          <w:b/>
          <w:color w:val="000000"/>
          <w:sz w:val="21"/>
          <w:szCs w:val="21"/>
        </w:rPr>
        <w:t>strany</w:t>
      </w:r>
      <w:r>
        <w:rPr>
          <w:color w:val="000000"/>
          <w:sz w:val="21"/>
          <w:szCs w:val="21"/>
        </w:rPr>
        <w:t xml:space="preserve">“) </w:t>
      </w:r>
    </w:p>
    <w:p w:rsidR="00576F08" w:rsidRDefault="00576F08" w:rsidP="00576F08">
      <w:pPr>
        <w:spacing w:line="120" w:lineRule="auto"/>
        <w:jc w:val="both"/>
        <w:rPr>
          <w:snapToGrid w:val="0"/>
          <w:sz w:val="24"/>
        </w:rPr>
      </w:pP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/>
        <w:ind w:right="4232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Článok I.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right="3611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Všeobecné ustanovenia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77" w:lineRule="auto"/>
        <w:ind w:left="762" w:right="58" w:hanging="33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Predávajúci je vlastníkom nasledujúcich nehnuteľností v rozsahu svojich spoluvlastníckych podielov  nachádzajúcich sa v </w:t>
      </w:r>
      <w:proofErr w:type="spellStart"/>
      <w:r>
        <w:rPr>
          <w:b/>
          <w:color w:val="000000"/>
          <w:sz w:val="21"/>
          <w:szCs w:val="21"/>
        </w:rPr>
        <w:t>k.ú</w:t>
      </w:r>
      <w:proofErr w:type="spellEnd"/>
      <w:r>
        <w:rPr>
          <w:b/>
          <w:color w:val="000000"/>
          <w:sz w:val="21"/>
          <w:szCs w:val="21"/>
        </w:rPr>
        <w:t>. Šávoľ</w:t>
      </w:r>
      <w:r>
        <w:rPr>
          <w:color w:val="000000"/>
          <w:sz w:val="21"/>
          <w:szCs w:val="21"/>
        </w:rPr>
        <w:t xml:space="preserve">, obec Šávoľ, okres Lučenec: </w:t>
      </w:r>
    </w:p>
    <w:tbl>
      <w:tblPr>
        <w:tblW w:w="8659" w:type="dxa"/>
        <w:tblInd w:w="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546"/>
        <w:gridCol w:w="1343"/>
        <w:gridCol w:w="2650"/>
        <w:gridCol w:w="1575"/>
      </w:tblGrid>
      <w:tr w:rsidR="00576F08" w:rsidTr="00187BD5">
        <w:trPr>
          <w:trHeight w:val="561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Číslo listu  </w:t>
            </w:r>
          </w:p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vlastníctva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Register a číslo  parcely 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  <w:vertAlign w:val="superscript"/>
              </w:rPr>
            </w:pPr>
            <w:r>
              <w:rPr>
                <w:b/>
                <w:color w:val="000000"/>
              </w:rPr>
              <w:t>Výmera v m</w:t>
            </w:r>
            <w:r>
              <w:rPr>
                <w:b/>
                <w:color w:val="000000"/>
                <w:sz w:val="21"/>
                <w:szCs w:val="21"/>
                <w:vertAlign w:val="superscript"/>
              </w:rPr>
              <w:t xml:space="preserve">2 </w:t>
            </w:r>
          </w:p>
        </w:tc>
        <w:tc>
          <w:tcPr>
            <w:tcW w:w="2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Druh pozemku 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Spoluvlastnícky  podiel</w:t>
            </w:r>
          </w:p>
        </w:tc>
      </w:tr>
      <w:tr w:rsidR="00576F08" w:rsidTr="00187BD5">
        <w:trPr>
          <w:trHeight w:val="288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 330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 </w:t>
            </w:r>
          </w:p>
        </w:tc>
        <w:tc>
          <w:tcPr>
            <w:tcW w:w="2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Záhrada 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</w:tc>
      </w:tr>
      <w:tr w:rsidR="00576F08" w:rsidTr="00187BD5">
        <w:trPr>
          <w:trHeight w:val="28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 331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Zastavaná plocha a nádvorie 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8" w:rsidRDefault="00576F08" w:rsidP="0018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</w:tc>
      </w:tr>
    </w:tbl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404" w:right="108" w:hanging="35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Stavba – rodinný dom so súpisným číslom 171 na pozemku parcelné číslo 331, druh stavby 10 – rodinný dom, evidovaná na LV č. 198, spoluvlastnícky podiel 1/1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/>
        <w:ind w:left="110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(ďalej spoločne len „</w:t>
      </w:r>
      <w:r>
        <w:rPr>
          <w:b/>
          <w:color w:val="000000"/>
          <w:sz w:val="21"/>
          <w:szCs w:val="21"/>
        </w:rPr>
        <w:t>predmet prevodu</w:t>
      </w:r>
      <w:r>
        <w:rPr>
          <w:color w:val="000000"/>
          <w:sz w:val="21"/>
          <w:szCs w:val="21"/>
        </w:rPr>
        <w:t>“)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ind w:right="4191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ind w:right="4191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ind w:right="4191"/>
        <w:jc w:val="center"/>
        <w:rPr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color w:val="000000"/>
          <w:sz w:val="21"/>
          <w:szCs w:val="21"/>
        </w:rPr>
        <w:t>Článok II.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right="3907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Predmet zmluvy </w:t>
      </w:r>
    </w:p>
    <w:p w:rsidR="00576F08" w:rsidRDefault="00576F08" w:rsidP="00576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65" w:lineRule="auto"/>
        <w:ind w:left="337" w:right="58" w:hanging="33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Predmetom tejto Zmluvy je prevod vlastníckeho práva k predmetu prevodu uvedenému v bode 1. článku I.  tejto Zmluvy z predávajúceho na kupujúceho. Predávajúci predáva a kupujúci kupuje predmet prevodu podľa  tejto Zmluvy do svojho výlučného vlastníctva v rozsahu spoluvlastníckych podielov predávajúceho tak ako  sú uvedené v bode 1. článku I. tejto Zmluvy. </w:t>
      </w:r>
    </w:p>
    <w:p w:rsidR="00576F08" w:rsidRDefault="00576F08" w:rsidP="00576F08">
      <w:pPr>
        <w:spacing w:line="120" w:lineRule="auto"/>
        <w:jc w:val="both"/>
        <w:rPr>
          <w:snapToGrid w:val="0"/>
          <w:sz w:val="24"/>
        </w:rPr>
      </w:pPr>
    </w:p>
    <w:p w:rsidR="00576F08" w:rsidRDefault="00576F08" w:rsidP="00576F08">
      <w:pPr>
        <w:pStyle w:val="Zkladntext2"/>
        <w:spacing w:before="0"/>
        <w:rPr>
          <w:lang w:val="sk-SK"/>
        </w:rPr>
      </w:pPr>
      <w:r>
        <w:rPr>
          <w:lang w:val="sk-SK"/>
        </w:rPr>
        <w:lastRenderedPageBreak/>
        <w:t xml:space="preserve">                                                                Čl. II.</w:t>
      </w:r>
    </w:p>
    <w:p w:rsidR="00576F08" w:rsidRDefault="00576F08" w:rsidP="00576F08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Kúpna cena</w:t>
      </w:r>
    </w:p>
    <w:p w:rsidR="00576F08" w:rsidRPr="0014744D" w:rsidRDefault="00576F08" w:rsidP="00576F08">
      <w:pPr>
        <w:spacing w:before="12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1/ Kúpna cena za predávané nehnuteľnosti – pozemky a stavba rodinného domu, ktoré sú predmetom tejto zmluvy  bola  účastníkmi zmluvy dohodnutá vo výške</w:t>
      </w:r>
      <w:r>
        <w:rPr>
          <w:b/>
          <w:snapToGrid w:val="0"/>
          <w:sz w:val="24"/>
        </w:rPr>
        <w:t xml:space="preserve"> 1 500,00 eur, </w:t>
      </w:r>
      <w:r>
        <w:rPr>
          <w:snapToGrid w:val="0"/>
          <w:sz w:val="24"/>
        </w:rPr>
        <w:t xml:space="preserve">slovom </w:t>
      </w:r>
      <w:r>
        <w:rPr>
          <w:b/>
          <w:snapToGrid w:val="0"/>
          <w:sz w:val="24"/>
        </w:rPr>
        <w:t xml:space="preserve">jedentisícpäťstosto eur.                                                                      </w:t>
      </w:r>
    </w:p>
    <w:p w:rsidR="00576F08" w:rsidRDefault="00576F08" w:rsidP="00576F08">
      <w:pPr>
        <w:spacing w:before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         2/  Kúpna cena za predávané nehnuteľnosti, bola dohodnutá v súlade s uznesením Obecného zastupiteľstva v Šávoli  č. 32/2022 zo dňa 07.09.2022, </w:t>
      </w:r>
      <w:r>
        <w:rPr>
          <w:snapToGrid w:val="0"/>
          <w:sz w:val="24"/>
          <w:szCs w:val="24"/>
        </w:rPr>
        <w:t xml:space="preserve">ktorým uznesením bolo v súlade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szCs w:val="24"/>
        </w:rPr>
        <w:t>s ustanovením § 9 ods. 2 písm. a/ zákona č. 138/1991 Zb. o majetku obcí v znení neskorších predpisov, schválené odkúpenie nehnuteľnosti –  pozemkov a stavby rodinného domu, ktoré sú predmetom tejto zmluvy, do majetku obce s tým, že odkupované nehnuteľnosti  do vlastníctve obce  budú  slúžiť pre potreby obce Šávoľ a jej obyvateľov, rozšíri sa nehnuteľný majetok obce a súčasne sa dlhodobo nevyužívané nehnuteľnosti zveľadia.</w:t>
      </w:r>
    </w:p>
    <w:p w:rsidR="00576F08" w:rsidRDefault="00576F08" w:rsidP="00576F08">
      <w:pPr>
        <w:spacing w:line="120" w:lineRule="auto"/>
        <w:jc w:val="both"/>
        <w:rPr>
          <w:snapToGrid w:val="0"/>
          <w:sz w:val="24"/>
          <w:szCs w:val="24"/>
        </w:rPr>
      </w:pPr>
    </w:p>
    <w:p w:rsidR="00576F08" w:rsidRDefault="00576F08" w:rsidP="00576F08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3/ Kupujúca obec sa zaväzuje dohodnutú kúpnu cenu v sume 1 500,00 eur, slovom jedentisícpäťsto eur zaplatiť predávajúcemu nasledovne: 1 300 eur bezhotovostným prevodom na účet predávajúceho IBAN:  </w:t>
      </w:r>
      <w:r>
        <w:rPr>
          <w:color w:val="222222"/>
          <w:sz w:val="24"/>
          <w:szCs w:val="24"/>
        </w:rPr>
        <w:t>............................................................. –</w:t>
      </w:r>
      <w:r w:rsidRPr="00DF2A1C">
        <w:rPr>
          <w:color w:val="222222"/>
          <w:sz w:val="24"/>
          <w:szCs w:val="24"/>
        </w:rPr>
        <w:t> </w:t>
      </w:r>
      <w:r>
        <w:rPr>
          <w:color w:val="222222"/>
          <w:sz w:val="24"/>
          <w:szCs w:val="24"/>
        </w:rPr>
        <w:t xml:space="preserve">do 15 dní </w:t>
      </w:r>
      <w:r>
        <w:rPr>
          <w:snapToGrid w:val="0"/>
          <w:sz w:val="24"/>
        </w:rPr>
        <w:t>po podpise tejto zmluvy a sumu 200 eur v hotovosti pri podpise zmluvy.</w:t>
      </w:r>
    </w:p>
    <w:p w:rsidR="00576F08" w:rsidRDefault="00576F08" w:rsidP="00576F08">
      <w:pPr>
        <w:shd w:val="clear" w:color="auto" w:fill="FFFFFF"/>
        <w:spacing w:line="120" w:lineRule="auto"/>
        <w:jc w:val="both"/>
        <w:rPr>
          <w:snapToGrid w:val="0"/>
          <w:sz w:val="24"/>
        </w:rPr>
      </w:pPr>
    </w:p>
    <w:p w:rsidR="00576F08" w:rsidRPr="005F6437" w:rsidRDefault="00576F08" w:rsidP="00576F08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snapToGrid w:val="0"/>
          <w:sz w:val="24"/>
        </w:rPr>
        <w:t xml:space="preserve">         4/ Nezaplatenie kúpnej ceny v uvedenom termíne je pre predávajúceho dôvodom na odstúpenie od kúpnej zmluvy.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</w:p>
    <w:p w:rsidR="00576F08" w:rsidRDefault="00576F08" w:rsidP="00576F08">
      <w:pPr>
        <w:spacing w:line="120" w:lineRule="auto"/>
        <w:ind w:left="336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</w:t>
      </w:r>
    </w:p>
    <w:p w:rsidR="00576F08" w:rsidRDefault="00576F08" w:rsidP="00576F08">
      <w:pPr>
        <w:ind w:left="3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Čl. III.</w:t>
      </w:r>
    </w:p>
    <w:p w:rsidR="00576F08" w:rsidRDefault="00576F08" w:rsidP="00576F08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Prevod vlastníctva</w:t>
      </w:r>
    </w:p>
    <w:p w:rsidR="00576F08" w:rsidRDefault="00576F08" w:rsidP="00576F08">
      <w:pPr>
        <w:pStyle w:val="Zkladntext"/>
        <w:jc w:val="both"/>
        <w:rPr>
          <w:lang w:val="sk-SK"/>
        </w:rPr>
      </w:pPr>
      <w:r>
        <w:rPr>
          <w:lang w:val="sk-SK"/>
        </w:rPr>
        <w:t xml:space="preserve">          1/ Prevod vlastníckeho práva k predávaným nehnuteľnostiam,, ktoré sú predmetom tejto zmluvy,  z predávajúceho  na kupujúcu obec, nastáva dňom zápisu vkladu  vlastníctva v prospech kupujúceho do katastra nehnuteľností vedenom na Okresnom úrade Lučenec, katastrálnom odbore.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2/ K odovzdaniu nehnuteľnosti – podielu na pozemku, ktorá je predmetom tejto kúpnej zmluvy, zo strany predávajúceho  kupujúcej obci, dôjde ihneď po podpise kúpnej zmluvy.</w:t>
      </w:r>
    </w:p>
    <w:p w:rsidR="00576F08" w:rsidRDefault="00576F08" w:rsidP="00576F08">
      <w:pPr>
        <w:pStyle w:val="Odsekzoznamu"/>
        <w:spacing w:before="120"/>
        <w:jc w:val="both"/>
        <w:rPr>
          <w:snapToGrid w:val="0"/>
          <w:sz w:val="24"/>
        </w:rPr>
      </w:pPr>
    </w:p>
    <w:p w:rsidR="00576F08" w:rsidRDefault="00576F08" w:rsidP="00576F08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Čl. IV.</w:t>
      </w:r>
    </w:p>
    <w:p w:rsidR="00576F08" w:rsidRDefault="00576F08" w:rsidP="00576F08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Iné dojednania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1/ Účastníci zmluvy berú na vedomie, že po  zápise vkladu vlastníckeho práva do katastra nehnuteľností  vznikne v prospech kupujúcej obce výlučné vlastníctvo k nehnuteľnostiam, ktoré sú predmetom tejto kúpnej  zmluvy.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2/ Predávajúci prehlasuje, že predávané nehnuteľnosti  nie sú zaťažené žiadnymi ťarchami, bremenami resp. inými  právnymi vadami ktoré by bránili kupujúcemu v užívaní  nehnuteľnosti a na ktoré by mal kupujúceho upozorniť.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3/ Kupujúci prehlasuje, že je mu stav kupovaných nehnuteľností známy z vykonanej ohliadky,  pričom nezistil žiadne právne vady a nedostatky, ktoré by  mu bránili nehnuteľnosti užívať a   kupuje ich v stave ako stoja a ležia.</w:t>
      </w:r>
    </w:p>
    <w:p w:rsidR="00576F08" w:rsidRDefault="00576F08" w:rsidP="00576F08">
      <w:pPr>
        <w:pStyle w:val="Zkladntext"/>
        <w:jc w:val="both"/>
        <w:rPr>
          <w:lang w:val="sk-SK"/>
        </w:rPr>
      </w:pPr>
      <w:r>
        <w:rPr>
          <w:snapToGrid w:val="0"/>
        </w:rPr>
        <w:t xml:space="preserve">          4/ Účastníci</w:t>
      </w:r>
      <w:r>
        <w:rPr>
          <w:snapToGrid w:val="0"/>
          <w:lang w:val="sk-SK"/>
        </w:rPr>
        <w:t xml:space="preserve"> zmluvy sa dohodli, že po podpise </w:t>
      </w:r>
      <w:proofErr w:type="gramStart"/>
      <w:r>
        <w:rPr>
          <w:snapToGrid w:val="0"/>
          <w:lang w:val="sk-SK"/>
        </w:rPr>
        <w:t>tejto  kúpnej</w:t>
      </w:r>
      <w:proofErr w:type="gramEnd"/>
      <w:r>
        <w:rPr>
          <w:snapToGrid w:val="0"/>
          <w:lang w:val="sk-SK"/>
        </w:rPr>
        <w:t xml:space="preserve"> zmluvy, do vykonania zápisu do katastra  nehnuteľností, sú touto zmluvou viazaní a s predmetom kúpy  nemôžu</w:t>
      </w:r>
      <w:r>
        <w:rPr>
          <w:snapToGrid w:val="0"/>
        </w:rPr>
        <w:t xml:space="preserve"> </w:t>
      </w:r>
      <w:r>
        <w:rPr>
          <w:snapToGrid w:val="0"/>
          <w:lang w:val="sk-SK"/>
        </w:rPr>
        <w:t>nakladať.</w:t>
      </w:r>
      <w:r>
        <w:t xml:space="preserve">   </w:t>
      </w:r>
      <w:r>
        <w:rPr>
          <w:lang w:val="sk-SK"/>
        </w:rPr>
        <w:t xml:space="preserve">  Zmluva nadobúda  platnosť  podpisom  účastníkov zmluvy. Vlastnícke právo na kupujúceho prechádza vkladom do katastra nehnuteľností. V prípade zamietnutia rozhodnutia o návrhu na zápis vkladu do KN  sa zmluva od počiatku zruší.</w:t>
      </w:r>
    </w:p>
    <w:p w:rsidR="00576F08" w:rsidRDefault="00576F08" w:rsidP="00576F08">
      <w:pPr>
        <w:pStyle w:val="Zkladntext"/>
        <w:jc w:val="both"/>
        <w:rPr>
          <w:lang w:val="sk-SK"/>
        </w:rPr>
      </w:pPr>
      <w:r>
        <w:rPr>
          <w:lang w:val="sk-SK"/>
        </w:rPr>
        <w:lastRenderedPageBreak/>
        <w:t xml:space="preserve">          5/ Účastníci sa dohodli, že návrh na vklad vlastníckeho práva do katastra nehnuteľností podá kupujúci, ktorý zaplatí správny poplatok za zápis do KN.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6/  Účastníci zmluvy sa dohodli, že vzťahy vyplývajúce  z kúpy a predaja predmetu tejto zmluvy, ktoré nie sú  zmluvou upravené, sa budú riadiť príslušnými ustanoveniami  Občianskeho zákonníka. </w:t>
      </w:r>
    </w:p>
    <w:p w:rsidR="00576F08" w:rsidRDefault="00576F08" w:rsidP="00576F08">
      <w:pPr>
        <w:spacing w:line="120" w:lineRule="auto"/>
        <w:jc w:val="both"/>
        <w:rPr>
          <w:snapToGrid w:val="0"/>
          <w:sz w:val="24"/>
        </w:rPr>
      </w:pPr>
    </w:p>
    <w:p w:rsidR="00576F08" w:rsidRDefault="00576F08" w:rsidP="00576F08">
      <w:pPr>
        <w:spacing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</w:t>
      </w:r>
    </w:p>
    <w:p w:rsidR="00576F08" w:rsidRDefault="00576F08" w:rsidP="00576F08">
      <w:pPr>
        <w:jc w:val="both"/>
        <w:rPr>
          <w:snapToGrid w:val="0"/>
        </w:rPr>
      </w:pPr>
      <w:r>
        <w:rPr>
          <w:snapToGrid w:val="0"/>
          <w:sz w:val="24"/>
        </w:rPr>
        <w:t xml:space="preserve">                                                               Čl. V.</w:t>
      </w:r>
    </w:p>
    <w:p w:rsidR="00576F08" w:rsidRDefault="00576F08" w:rsidP="00576F08">
      <w:pPr>
        <w:jc w:val="both"/>
        <w:rPr>
          <w:snapToGrid w:val="0"/>
          <w:sz w:val="24"/>
        </w:rPr>
      </w:pPr>
      <w:r>
        <w:rPr>
          <w:snapToGrid w:val="0"/>
        </w:rPr>
        <w:t xml:space="preserve">           </w:t>
      </w:r>
      <w:r>
        <w:rPr>
          <w:snapToGrid w:val="0"/>
          <w:sz w:val="24"/>
        </w:rPr>
        <w:t xml:space="preserve">                                        Záverečné ustanovenia</w:t>
      </w:r>
    </w:p>
    <w:p w:rsidR="00576F08" w:rsidRDefault="00576F08" w:rsidP="00576F08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</w:t>
      </w:r>
    </w:p>
    <w:p w:rsidR="00576F08" w:rsidRDefault="00576F08" w:rsidP="00576F08">
      <w:pPr>
        <w:spacing w:before="120"/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         </w:t>
      </w:r>
      <w:r>
        <w:rPr>
          <w:sz w:val="24"/>
          <w:szCs w:val="24"/>
        </w:rPr>
        <w:t xml:space="preserve"> 1/ Účastníci zmluvy berú na vedomie, že po zápise  vkladu vlastníckeho práva do katastra nehnuteľností na Okresnom úrade Lučenec, katastrálnom odbore,  bude  v prospech kupujúcej obce založený nový list vlastníctva  s nasledovným obsahom :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- v časti A LV : podľa čl. I,</w:t>
      </w:r>
    </w:p>
    <w:p w:rsidR="00576F08" w:rsidRDefault="00576F08" w:rsidP="00576F08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- v časti B LV : Obec Šávoľ, Šávoľ č. 220, PSČ 985 41, IČO: 00316415, SR,</w:t>
      </w:r>
    </w:p>
    <w:p w:rsidR="00576F08" w:rsidRDefault="00576F08" w:rsidP="00576F08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podiel podľa čl. I.,                          </w:t>
      </w:r>
    </w:p>
    <w:p w:rsidR="00576F08" w:rsidRDefault="00576F08" w:rsidP="00576F08">
      <w:pPr>
        <w:spacing w:before="120" w:line="12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číslo zápisu tejto zmluvy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- v časti C LV : bez zápisu.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2/ Táto kúpna zmluva je vyhotovená v 4 vyhotoveniach, po jednom pre každého účastníka  a 2 vyhotovenia pre vykonanie zápisu vkladu vlastníctva do KN.</w:t>
      </w:r>
    </w:p>
    <w:p w:rsidR="00576F08" w:rsidRDefault="00576F08" w:rsidP="00576F08">
      <w:pPr>
        <w:jc w:val="both"/>
        <w:rPr>
          <w:sz w:val="24"/>
          <w:szCs w:val="24"/>
        </w:rPr>
      </w:pP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3/ Účastníci sa dohodli, že táto kúpna zmluva nadobudne účinnosť nasledujúci deň po jej zverejnení na úradnej tabuli obce a v CRZ.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Účastníci po prečítaní zmluvy výslovne  prehlásili, že táto zmluva obsahuje ich slobodne a vážne  prejavenú vôľu a na znak súhlasu s jej obsahom ju  podpísali.                                               </w:t>
      </w:r>
      <w:r w:rsidRPr="008936CB">
        <w:rPr>
          <w:snapToGrid w:val="0"/>
          <w:sz w:val="24"/>
        </w:rPr>
        <w:t xml:space="preserve">                                    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</w:p>
    <w:p w:rsidR="00576F08" w:rsidRPr="008936CB" w:rsidRDefault="00576F08" w:rsidP="00576F08">
      <w:pPr>
        <w:spacing w:before="120"/>
        <w:jc w:val="both"/>
        <w:rPr>
          <w:snapToGrid w:val="0"/>
          <w:sz w:val="24"/>
        </w:rPr>
      </w:pPr>
      <w:r w:rsidRPr="008936CB">
        <w:rPr>
          <w:snapToGrid w:val="0"/>
          <w:sz w:val="24"/>
        </w:rPr>
        <w:t>V Šávoli, dňa 04.10.2022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Za predávajúceho :                                                                        Za kupujúceho :</w:t>
      </w: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</w:p>
    <w:p w:rsidR="00576F08" w:rsidRDefault="00576F08" w:rsidP="00576F08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.................................                                                                    ....................................</w:t>
      </w:r>
    </w:p>
    <w:p w:rsidR="00576F08" w:rsidRDefault="00576F08" w:rsidP="00576F08">
      <w:pPr>
        <w:spacing w:before="120" w:line="12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    Irena </w:t>
      </w:r>
      <w:proofErr w:type="spellStart"/>
      <w:r>
        <w:rPr>
          <w:snapToGrid w:val="0"/>
          <w:sz w:val="24"/>
        </w:rPr>
        <w:t>Cirjaková</w:t>
      </w:r>
      <w:proofErr w:type="spellEnd"/>
      <w:r>
        <w:rPr>
          <w:snapToGrid w:val="0"/>
          <w:sz w:val="24"/>
        </w:rPr>
        <w:t xml:space="preserve">                                                                                Július  Ferencz</w:t>
      </w:r>
    </w:p>
    <w:p w:rsidR="00576F08" w:rsidRDefault="00576F08" w:rsidP="00576F08">
      <w:pPr>
        <w:spacing w:before="120" w:line="12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starosta obce</w:t>
      </w:r>
    </w:p>
    <w:p w:rsidR="008C43BE" w:rsidRDefault="00576F08">
      <w:bookmarkStart w:id="0" w:name="_GoBack"/>
      <w:bookmarkEnd w:id="0"/>
    </w:p>
    <w:sectPr w:rsidR="008C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8"/>
    <w:rsid w:val="00576F08"/>
    <w:rsid w:val="00A51233"/>
    <w:rsid w:val="00AE6F54"/>
    <w:rsid w:val="00D81E91"/>
    <w:rsid w:val="00F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1EC6B-DFBF-4C05-8289-E9077E97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76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576F08"/>
    <w:pPr>
      <w:snapToGrid w:val="0"/>
      <w:spacing w:before="120"/>
    </w:pPr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576F08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nhideWhenUsed/>
    <w:rsid w:val="00576F08"/>
    <w:pPr>
      <w:snapToGrid w:val="0"/>
      <w:spacing w:before="120"/>
      <w:jc w:val="both"/>
    </w:pPr>
    <w:rPr>
      <w:sz w:val="24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576F08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7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FEHÉROVÁ Hedviga</dc:creator>
  <cp:keywords/>
  <dc:description/>
  <cp:lastModifiedBy>FEHÉROVÁ Hedviga</cp:lastModifiedBy>
  <cp:revision>1</cp:revision>
  <dcterms:created xsi:type="dcterms:W3CDTF">2025-01-16T13:12:00Z</dcterms:created>
  <dcterms:modified xsi:type="dcterms:W3CDTF">2025-01-16T13:12:00Z</dcterms:modified>
</cp:coreProperties>
</file>